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7AAFA" w14:textId="77777777" w:rsidR="00BA3446" w:rsidRDefault="00647451">
      <w:pPr>
        <w:jc w:val="center"/>
      </w:pPr>
      <w:r>
        <w:t>Outcome Assessment Timeline</w:t>
      </w:r>
    </w:p>
    <w:p w14:paraId="2A970CD1" w14:textId="77777777" w:rsidR="00BA3446" w:rsidRDefault="00647451">
      <w:pPr>
        <w:jc w:val="center"/>
      </w:pPr>
      <w:r>
        <w:t>Academic Programs</w:t>
      </w:r>
    </w:p>
    <w:p w14:paraId="7FD37926" w14:textId="77777777" w:rsidR="00BA3446" w:rsidRDefault="00647451">
      <w:pPr>
        <w:jc w:val="center"/>
        <w:rPr>
          <w:sz w:val="36"/>
          <w:szCs w:val="36"/>
        </w:rPr>
      </w:pPr>
      <w:r>
        <w:rPr>
          <w:sz w:val="36"/>
          <w:szCs w:val="36"/>
        </w:rPr>
        <w:t>Anthropology</w:t>
      </w:r>
    </w:p>
    <w:p w14:paraId="7DBF3128" w14:textId="77777777" w:rsidR="00BA3446" w:rsidRDefault="00BA3446"/>
    <w:p w14:paraId="2ACDCAD6" w14:textId="77777777" w:rsidR="00BA3446" w:rsidRDefault="00BA3446"/>
    <w:tbl>
      <w:tblPr>
        <w:tblStyle w:val="a"/>
        <w:tblW w:w="10545"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30"/>
        <w:gridCol w:w="6180"/>
        <w:gridCol w:w="1425"/>
        <w:gridCol w:w="1410"/>
      </w:tblGrid>
      <w:tr w:rsidR="00BA3446" w14:paraId="7603BDBA" w14:textId="77777777">
        <w:tc>
          <w:tcPr>
            <w:tcW w:w="1530" w:type="dxa"/>
            <w:vAlign w:val="center"/>
          </w:tcPr>
          <w:p w14:paraId="33EB3E99" w14:textId="2A716BBC" w:rsidR="00BA3446" w:rsidRDefault="00647451">
            <w:pPr>
              <w:jc w:val="center"/>
              <w:rPr>
                <w:b/>
              </w:rPr>
            </w:pPr>
            <w:r>
              <w:rPr>
                <w:b/>
              </w:rPr>
              <w:t xml:space="preserve">APR /SLO </w:t>
            </w:r>
            <w:r w:rsidR="0070064E">
              <w:rPr>
                <w:b/>
              </w:rPr>
              <w:t>4</w:t>
            </w:r>
            <w:r>
              <w:rPr>
                <w:b/>
              </w:rPr>
              <w:t>-Year Cycle</w:t>
            </w:r>
          </w:p>
        </w:tc>
        <w:tc>
          <w:tcPr>
            <w:tcW w:w="9015" w:type="dxa"/>
            <w:gridSpan w:val="3"/>
            <w:vAlign w:val="center"/>
          </w:tcPr>
          <w:p w14:paraId="62CD38AA" w14:textId="48DFA73C" w:rsidR="00BA3446" w:rsidRDefault="00647451">
            <w:pPr>
              <w:jc w:val="center"/>
              <w:rPr>
                <w:b/>
              </w:rPr>
            </w:pPr>
            <w:r>
              <w:rPr>
                <w:b/>
              </w:rPr>
              <w:t xml:space="preserve"> FA 20</w:t>
            </w:r>
            <w:r w:rsidR="00530F77">
              <w:rPr>
                <w:b/>
              </w:rPr>
              <w:t>22</w:t>
            </w:r>
            <w:r>
              <w:rPr>
                <w:b/>
              </w:rPr>
              <w:t xml:space="preserve"> - SP 202</w:t>
            </w:r>
            <w:r w:rsidR="00530F77">
              <w:rPr>
                <w:b/>
              </w:rPr>
              <w:t>6</w:t>
            </w:r>
          </w:p>
        </w:tc>
      </w:tr>
      <w:tr w:rsidR="00BA3446" w14:paraId="76429358" w14:textId="77777777">
        <w:tc>
          <w:tcPr>
            <w:tcW w:w="1530" w:type="dxa"/>
            <w:vAlign w:val="center"/>
          </w:tcPr>
          <w:p w14:paraId="08927EF6" w14:textId="77777777" w:rsidR="00BA3446" w:rsidRDefault="00647451">
            <w:pPr>
              <w:jc w:val="center"/>
              <w:rPr>
                <w:b/>
              </w:rPr>
            </w:pPr>
            <w:r>
              <w:rPr>
                <w:b/>
              </w:rPr>
              <w:t>Course ID</w:t>
            </w:r>
          </w:p>
        </w:tc>
        <w:tc>
          <w:tcPr>
            <w:tcW w:w="6180" w:type="dxa"/>
            <w:vAlign w:val="center"/>
          </w:tcPr>
          <w:p w14:paraId="771D568A" w14:textId="77777777" w:rsidR="00BA3446" w:rsidRDefault="00647451">
            <w:pPr>
              <w:jc w:val="center"/>
              <w:rPr>
                <w:b/>
              </w:rPr>
            </w:pPr>
            <w:r>
              <w:rPr>
                <w:b/>
              </w:rPr>
              <w:t>Course-Level Student Learning Outcome (CSLO)</w:t>
            </w:r>
          </w:p>
        </w:tc>
        <w:tc>
          <w:tcPr>
            <w:tcW w:w="1425" w:type="dxa"/>
            <w:vAlign w:val="center"/>
          </w:tcPr>
          <w:p w14:paraId="3B8DEEA9" w14:textId="77777777" w:rsidR="00BA3446" w:rsidRDefault="00647451">
            <w:pPr>
              <w:jc w:val="center"/>
              <w:rPr>
                <w:b/>
              </w:rPr>
            </w:pPr>
            <w:r>
              <w:rPr>
                <w:b/>
              </w:rPr>
              <w:t>Measure/</w:t>
            </w:r>
          </w:p>
          <w:p w14:paraId="4F098D0E" w14:textId="77777777" w:rsidR="00BA3446" w:rsidRDefault="00647451">
            <w:pPr>
              <w:jc w:val="center"/>
              <w:rPr>
                <w:b/>
              </w:rPr>
            </w:pPr>
            <w:r>
              <w:rPr>
                <w:b/>
              </w:rPr>
              <w:t>Collect Data</w:t>
            </w:r>
          </w:p>
        </w:tc>
        <w:tc>
          <w:tcPr>
            <w:tcW w:w="1410" w:type="dxa"/>
            <w:vAlign w:val="center"/>
          </w:tcPr>
          <w:p w14:paraId="3C752CC0" w14:textId="77777777" w:rsidR="00BA3446" w:rsidRDefault="00647451">
            <w:pPr>
              <w:jc w:val="center"/>
              <w:rPr>
                <w:b/>
              </w:rPr>
            </w:pPr>
            <w:r>
              <w:rPr>
                <w:b/>
              </w:rPr>
              <w:t>Discuss &amp; Plan</w:t>
            </w:r>
          </w:p>
        </w:tc>
      </w:tr>
      <w:tr w:rsidR="0070064E" w14:paraId="2093A935" w14:textId="77777777">
        <w:trPr>
          <w:trHeight w:val="220"/>
        </w:trPr>
        <w:tc>
          <w:tcPr>
            <w:tcW w:w="1530" w:type="dxa"/>
            <w:vMerge w:val="restart"/>
            <w:vAlign w:val="center"/>
          </w:tcPr>
          <w:p w14:paraId="731B8FC0" w14:textId="77777777" w:rsidR="0070064E" w:rsidRDefault="0070064E" w:rsidP="0070064E"/>
          <w:p w14:paraId="0366B177" w14:textId="77777777" w:rsidR="0070064E" w:rsidRDefault="0070064E" w:rsidP="0070064E">
            <w:pPr>
              <w:rPr>
                <w:color w:val="FF0000"/>
              </w:rPr>
            </w:pPr>
            <w:r>
              <w:t>ANTH 101</w:t>
            </w:r>
          </w:p>
        </w:tc>
        <w:tc>
          <w:tcPr>
            <w:tcW w:w="6180" w:type="dxa"/>
            <w:vAlign w:val="center"/>
          </w:tcPr>
          <w:p w14:paraId="15B2C753" w14:textId="77777777" w:rsidR="0070064E" w:rsidRDefault="0070064E" w:rsidP="0070064E">
            <w:r>
              <w:rPr>
                <w:highlight w:val="white"/>
              </w:rPr>
              <w:t>Students will be able to identify key terms and analyze perspectives relating to biological anthropology. (ANTH 101, ISLO 1)</w:t>
            </w:r>
          </w:p>
        </w:tc>
        <w:tc>
          <w:tcPr>
            <w:tcW w:w="1425" w:type="dxa"/>
            <w:vAlign w:val="center"/>
          </w:tcPr>
          <w:p w14:paraId="06956B43" w14:textId="6CB5FA05" w:rsidR="0070064E" w:rsidRDefault="0070064E" w:rsidP="0070064E">
            <w:pPr>
              <w:jc w:val="center"/>
            </w:pPr>
            <w:r>
              <w:t>Every semester</w:t>
            </w:r>
          </w:p>
        </w:tc>
        <w:tc>
          <w:tcPr>
            <w:tcW w:w="1410" w:type="dxa"/>
            <w:vAlign w:val="center"/>
          </w:tcPr>
          <w:p w14:paraId="2D408DFB" w14:textId="3F02D09D" w:rsidR="0070064E" w:rsidRDefault="0070064E" w:rsidP="0070064E">
            <w:pPr>
              <w:jc w:val="center"/>
            </w:pPr>
            <w:r>
              <w:t>Every semester</w:t>
            </w:r>
          </w:p>
        </w:tc>
      </w:tr>
      <w:tr w:rsidR="0070064E" w14:paraId="69148A12" w14:textId="77777777">
        <w:trPr>
          <w:trHeight w:val="220"/>
        </w:trPr>
        <w:tc>
          <w:tcPr>
            <w:tcW w:w="1530" w:type="dxa"/>
            <w:vMerge/>
            <w:vAlign w:val="center"/>
          </w:tcPr>
          <w:p w14:paraId="5BCF139E" w14:textId="77777777" w:rsidR="0070064E" w:rsidRDefault="0070064E" w:rsidP="0070064E">
            <w:pPr>
              <w:widowControl w:val="0"/>
              <w:pBdr>
                <w:top w:val="nil"/>
                <w:left w:val="nil"/>
                <w:bottom w:val="nil"/>
                <w:right w:val="nil"/>
                <w:between w:val="nil"/>
              </w:pBdr>
              <w:spacing w:line="276" w:lineRule="auto"/>
            </w:pPr>
          </w:p>
        </w:tc>
        <w:tc>
          <w:tcPr>
            <w:tcW w:w="6180" w:type="dxa"/>
            <w:vAlign w:val="center"/>
          </w:tcPr>
          <w:p w14:paraId="32308B89" w14:textId="77777777" w:rsidR="0070064E" w:rsidRDefault="0070064E" w:rsidP="0070064E">
            <w:r>
              <w:rPr>
                <w:highlight w:val="white"/>
              </w:rPr>
              <w:t>Students will be able to apply research and critical thinking skills in order to evaluate current breakthroughs, trends, or discoveries pertaining to biological anthropology. (ANTH 101, ISLO 4)</w:t>
            </w:r>
          </w:p>
        </w:tc>
        <w:tc>
          <w:tcPr>
            <w:tcW w:w="1425" w:type="dxa"/>
            <w:vAlign w:val="center"/>
          </w:tcPr>
          <w:p w14:paraId="0B65D945" w14:textId="4483A817" w:rsidR="0070064E" w:rsidRDefault="0070064E" w:rsidP="0070064E">
            <w:pPr>
              <w:jc w:val="center"/>
            </w:pPr>
            <w:r>
              <w:t>Every semester</w:t>
            </w:r>
          </w:p>
        </w:tc>
        <w:tc>
          <w:tcPr>
            <w:tcW w:w="1410" w:type="dxa"/>
            <w:vAlign w:val="center"/>
          </w:tcPr>
          <w:p w14:paraId="5D4CDF04" w14:textId="5107D216" w:rsidR="0070064E" w:rsidRDefault="0070064E" w:rsidP="0070064E">
            <w:pPr>
              <w:jc w:val="center"/>
            </w:pPr>
            <w:r>
              <w:t>Every semester</w:t>
            </w:r>
          </w:p>
        </w:tc>
      </w:tr>
      <w:tr w:rsidR="0070064E" w14:paraId="479B8BBD" w14:textId="77777777">
        <w:trPr>
          <w:trHeight w:val="220"/>
        </w:trPr>
        <w:tc>
          <w:tcPr>
            <w:tcW w:w="1530" w:type="dxa"/>
            <w:vMerge w:val="restart"/>
            <w:vAlign w:val="center"/>
          </w:tcPr>
          <w:p w14:paraId="5401CAC6" w14:textId="77777777" w:rsidR="0070064E" w:rsidRDefault="0070064E" w:rsidP="0070064E">
            <w:pPr>
              <w:widowControl w:val="0"/>
              <w:pBdr>
                <w:top w:val="nil"/>
                <w:left w:val="nil"/>
                <w:bottom w:val="nil"/>
                <w:right w:val="nil"/>
                <w:between w:val="nil"/>
              </w:pBdr>
              <w:spacing w:line="276" w:lineRule="auto"/>
            </w:pPr>
            <w:r>
              <w:t>ANTH 101 LAB</w:t>
            </w:r>
          </w:p>
        </w:tc>
        <w:tc>
          <w:tcPr>
            <w:tcW w:w="6180" w:type="dxa"/>
            <w:vAlign w:val="center"/>
          </w:tcPr>
          <w:p w14:paraId="63CCFFE5" w14:textId="77777777" w:rsidR="0070064E" w:rsidRDefault="0070064E" w:rsidP="0070064E">
            <w:pPr>
              <w:rPr>
                <w:highlight w:val="white"/>
              </w:rPr>
            </w:pPr>
            <w:r>
              <w:rPr>
                <w:highlight w:val="white"/>
              </w:rPr>
              <w:t xml:space="preserve">Students will be able to perform basic </w:t>
            </w:r>
            <w:proofErr w:type="spellStart"/>
            <w:r>
              <w:rPr>
                <w:highlight w:val="white"/>
              </w:rPr>
              <w:t>osteometric</w:t>
            </w:r>
            <w:proofErr w:type="spellEnd"/>
            <w:r>
              <w:rPr>
                <w:highlight w:val="white"/>
              </w:rPr>
              <w:t>, craniometric, and anthropometric measurements. (ANTH 101L, ISLO 5)</w:t>
            </w:r>
          </w:p>
        </w:tc>
        <w:tc>
          <w:tcPr>
            <w:tcW w:w="1425" w:type="dxa"/>
            <w:vAlign w:val="center"/>
          </w:tcPr>
          <w:p w14:paraId="4A81D898" w14:textId="31F6B09B" w:rsidR="0070064E" w:rsidRDefault="0070064E" w:rsidP="0070064E">
            <w:pPr>
              <w:jc w:val="center"/>
            </w:pPr>
            <w:r>
              <w:t>Every semester</w:t>
            </w:r>
          </w:p>
        </w:tc>
        <w:tc>
          <w:tcPr>
            <w:tcW w:w="1410" w:type="dxa"/>
            <w:vAlign w:val="center"/>
          </w:tcPr>
          <w:p w14:paraId="725F2857" w14:textId="67E1599E" w:rsidR="0070064E" w:rsidRDefault="0070064E" w:rsidP="0070064E">
            <w:pPr>
              <w:jc w:val="center"/>
            </w:pPr>
            <w:r>
              <w:t>Every semester</w:t>
            </w:r>
          </w:p>
        </w:tc>
      </w:tr>
      <w:tr w:rsidR="0070064E" w14:paraId="360E78F5" w14:textId="77777777">
        <w:trPr>
          <w:trHeight w:val="220"/>
        </w:trPr>
        <w:tc>
          <w:tcPr>
            <w:tcW w:w="1530" w:type="dxa"/>
            <w:vMerge/>
            <w:vAlign w:val="center"/>
          </w:tcPr>
          <w:p w14:paraId="354CAE7F" w14:textId="77777777" w:rsidR="0070064E" w:rsidRDefault="0070064E" w:rsidP="0070064E">
            <w:pPr>
              <w:widowControl w:val="0"/>
              <w:pBdr>
                <w:top w:val="nil"/>
                <w:left w:val="nil"/>
                <w:bottom w:val="nil"/>
                <w:right w:val="nil"/>
                <w:between w:val="nil"/>
              </w:pBdr>
            </w:pPr>
          </w:p>
        </w:tc>
        <w:tc>
          <w:tcPr>
            <w:tcW w:w="6180" w:type="dxa"/>
            <w:vAlign w:val="center"/>
          </w:tcPr>
          <w:p w14:paraId="59CF19FF" w14:textId="77777777" w:rsidR="0070064E" w:rsidRDefault="0070064E" w:rsidP="0070064E">
            <w:pPr>
              <w:rPr>
                <w:highlight w:val="white"/>
              </w:rPr>
            </w:pPr>
            <w:r>
              <w:rPr>
                <w:highlight w:val="white"/>
              </w:rPr>
              <w:t>Students will be able to apply basic experimental methods to anthropological problems. (ANTH 101L, ISLO 5)</w:t>
            </w:r>
          </w:p>
        </w:tc>
        <w:tc>
          <w:tcPr>
            <w:tcW w:w="1425" w:type="dxa"/>
            <w:vAlign w:val="center"/>
          </w:tcPr>
          <w:p w14:paraId="79253FFF" w14:textId="78C3C5A5" w:rsidR="0070064E" w:rsidRDefault="0070064E" w:rsidP="0070064E">
            <w:pPr>
              <w:jc w:val="center"/>
            </w:pPr>
            <w:r>
              <w:t>Every semester</w:t>
            </w:r>
          </w:p>
        </w:tc>
        <w:tc>
          <w:tcPr>
            <w:tcW w:w="1410" w:type="dxa"/>
            <w:vAlign w:val="center"/>
          </w:tcPr>
          <w:p w14:paraId="25151D36" w14:textId="3E6CA3C2" w:rsidR="0070064E" w:rsidRDefault="0070064E" w:rsidP="0070064E">
            <w:pPr>
              <w:jc w:val="center"/>
            </w:pPr>
            <w:r>
              <w:t>Every semester</w:t>
            </w:r>
          </w:p>
        </w:tc>
      </w:tr>
      <w:tr w:rsidR="0070064E" w14:paraId="760DF1C0" w14:textId="77777777">
        <w:trPr>
          <w:trHeight w:val="220"/>
        </w:trPr>
        <w:tc>
          <w:tcPr>
            <w:tcW w:w="1530" w:type="dxa"/>
            <w:vMerge w:val="restart"/>
            <w:vAlign w:val="center"/>
          </w:tcPr>
          <w:p w14:paraId="64432EC3" w14:textId="77777777" w:rsidR="0070064E" w:rsidRDefault="0070064E" w:rsidP="0070064E"/>
          <w:p w14:paraId="0065CDEE" w14:textId="77777777" w:rsidR="0070064E" w:rsidRDefault="0070064E" w:rsidP="0070064E">
            <w:r>
              <w:t>ANTH 102</w:t>
            </w:r>
          </w:p>
        </w:tc>
        <w:tc>
          <w:tcPr>
            <w:tcW w:w="6180" w:type="dxa"/>
            <w:vAlign w:val="center"/>
          </w:tcPr>
          <w:p w14:paraId="5C99C3D4" w14:textId="77777777" w:rsidR="0070064E" w:rsidRDefault="0070064E" w:rsidP="0070064E">
            <w:r>
              <w:rPr>
                <w:highlight w:val="white"/>
              </w:rPr>
              <w:t>Students will be able to compare and contrast elements of culture, race, ethnicity, and gender to the varying cultural universals from past and present including language, personality development and health/illness. (ANTH 102, ISLO 4)</w:t>
            </w:r>
          </w:p>
        </w:tc>
        <w:tc>
          <w:tcPr>
            <w:tcW w:w="1425" w:type="dxa"/>
            <w:vAlign w:val="center"/>
          </w:tcPr>
          <w:p w14:paraId="11FA87D8" w14:textId="62BB27F4" w:rsidR="0070064E" w:rsidRDefault="0070064E" w:rsidP="0070064E">
            <w:pPr>
              <w:jc w:val="center"/>
            </w:pPr>
            <w:r>
              <w:t>Every semester</w:t>
            </w:r>
          </w:p>
        </w:tc>
        <w:tc>
          <w:tcPr>
            <w:tcW w:w="1410" w:type="dxa"/>
            <w:vAlign w:val="center"/>
          </w:tcPr>
          <w:p w14:paraId="533A1394" w14:textId="03B19220" w:rsidR="0070064E" w:rsidRDefault="0070064E" w:rsidP="0070064E">
            <w:pPr>
              <w:jc w:val="center"/>
            </w:pPr>
            <w:r>
              <w:t>Every semester</w:t>
            </w:r>
          </w:p>
        </w:tc>
      </w:tr>
      <w:tr w:rsidR="0070064E" w14:paraId="4CA26863" w14:textId="77777777">
        <w:trPr>
          <w:trHeight w:val="220"/>
        </w:trPr>
        <w:tc>
          <w:tcPr>
            <w:tcW w:w="1530" w:type="dxa"/>
            <w:vMerge/>
            <w:vAlign w:val="center"/>
          </w:tcPr>
          <w:p w14:paraId="10003C8D" w14:textId="77777777" w:rsidR="0070064E" w:rsidRDefault="0070064E" w:rsidP="0070064E">
            <w:pPr>
              <w:widowControl w:val="0"/>
              <w:pBdr>
                <w:top w:val="nil"/>
                <w:left w:val="nil"/>
                <w:bottom w:val="nil"/>
                <w:right w:val="nil"/>
                <w:between w:val="nil"/>
              </w:pBdr>
              <w:spacing w:line="276" w:lineRule="auto"/>
            </w:pPr>
          </w:p>
        </w:tc>
        <w:tc>
          <w:tcPr>
            <w:tcW w:w="6180" w:type="dxa"/>
            <w:vAlign w:val="center"/>
          </w:tcPr>
          <w:p w14:paraId="741FB2FA" w14:textId="77777777" w:rsidR="0070064E" w:rsidRDefault="0070064E" w:rsidP="0070064E">
            <w:r>
              <w:rPr>
                <w:highlight w:val="white"/>
              </w:rPr>
              <w:t>Students will be able to explain and analyze the development and enforcement of group, tribal or public policy in relation to race, class, gender, age, sexual orientation, religion, ethnicity and nationality as it relates to issues involving economics, political structure, and/or globalization. (ANTH 102, ISLO 10)</w:t>
            </w:r>
          </w:p>
        </w:tc>
        <w:tc>
          <w:tcPr>
            <w:tcW w:w="1425" w:type="dxa"/>
            <w:vAlign w:val="center"/>
          </w:tcPr>
          <w:p w14:paraId="7F222524" w14:textId="1DDE6696" w:rsidR="0070064E" w:rsidRDefault="0070064E" w:rsidP="0070064E">
            <w:pPr>
              <w:jc w:val="center"/>
            </w:pPr>
            <w:r>
              <w:t>Every semester</w:t>
            </w:r>
          </w:p>
        </w:tc>
        <w:tc>
          <w:tcPr>
            <w:tcW w:w="1410" w:type="dxa"/>
            <w:vAlign w:val="center"/>
          </w:tcPr>
          <w:p w14:paraId="5BF7CDE3" w14:textId="74031891" w:rsidR="0070064E" w:rsidRDefault="0070064E" w:rsidP="0070064E">
            <w:pPr>
              <w:jc w:val="center"/>
            </w:pPr>
            <w:r>
              <w:t>Every semester</w:t>
            </w:r>
          </w:p>
        </w:tc>
      </w:tr>
      <w:tr w:rsidR="0070064E" w14:paraId="309E1215" w14:textId="77777777">
        <w:trPr>
          <w:trHeight w:val="220"/>
        </w:trPr>
        <w:tc>
          <w:tcPr>
            <w:tcW w:w="1530" w:type="dxa"/>
            <w:vMerge w:val="restart"/>
            <w:vAlign w:val="center"/>
          </w:tcPr>
          <w:p w14:paraId="0D8B7F86" w14:textId="77777777" w:rsidR="0070064E" w:rsidRDefault="0070064E" w:rsidP="0070064E"/>
          <w:p w14:paraId="3BA7FE30" w14:textId="77777777" w:rsidR="0070064E" w:rsidRDefault="0070064E" w:rsidP="0070064E">
            <w:r>
              <w:t>ANTH 103</w:t>
            </w:r>
          </w:p>
        </w:tc>
        <w:tc>
          <w:tcPr>
            <w:tcW w:w="6180" w:type="dxa"/>
            <w:vAlign w:val="center"/>
          </w:tcPr>
          <w:p w14:paraId="36CF4E5B" w14:textId="77777777" w:rsidR="0070064E" w:rsidRDefault="0070064E" w:rsidP="0070064E">
            <w:r>
              <w:rPr>
                <w:highlight w:val="white"/>
              </w:rPr>
              <w:t>Students will be able to identify key terms and analyze perspectives relating to archeology and the study of prehistory. (ANTH 103, ISLO 2)</w:t>
            </w:r>
          </w:p>
        </w:tc>
        <w:tc>
          <w:tcPr>
            <w:tcW w:w="1425" w:type="dxa"/>
            <w:vAlign w:val="center"/>
          </w:tcPr>
          <w:p w14:paraId="49FDC782" w14:textId="72E618F9" w:rsidR="0070064E" w:rsidRDefault="0070064E" w:rsidP="0070064E">
            <w:pPr>
              <w:jc w:val="center"/>
            </w:pPr>
            <w:r>
              <w:t>Every semester</w:t>
            </w:r>
          </w:p>
        </w:tc>
        <w:tc>
          <w:tcPr>
            <w:tcW w:w="1410" w:type="dxa"/>
            <w:vAlign w:val="center"/>
          </w:tcPr>
          <w:p w14:paraId="27DBA6E3" w14:textId="63604C93" w:rsidR="0070064E" w:rsidRDefault="0070064E" w:rsidP="0070064E">
            <w:pPr>
              <w:jc w:val="center"/>
            </w:pPr>
            <w:r>
              <w:t>Every semester</w:t>
            </w:r>
          </w:p>
        </w:tc>
      </w:tr>
      <w:tr w:rsidR="0070064E" w14:paraId="7788C7F5" w14:textId="77777777">
        <w:trPr>
          <w:trHeight w:val="220"/>
        </w:trPr>
        <w:tc>
          <w:tcPr>
            <w:tcW w:w="1530" w:type="dxa"/>
            <w:vMerge/>
            <w:vAlign w:val="center"/>
          </w:tcPr>
          <w:p w14:paraId="3B286B46" w14:textId="77777777" w:rsidR="0070064E" w:rsidRDefault="0070064E" w:rsidP="0070064E">
            <w:pPr>
              <w:widowControl w:val="0"/>
              <w:pBdr>
                <w:top w:val="nil"/>
                <w:left w:val="nil"/>
                <w:bottom w:val="nil"/>
                <w:right w:val="nil"/>
                <w:between w:val="nil"/>
              </w:pBdr>
              <w:spacing w:line="276" w:lineRule="auto"/>
            </w:pPr>
          </w:p>
        </w:tc>
        <w:tc>
          <w:tcPr>
            <w:tcW w:w="6180" w:type="dxa"/>
            <w:vAlign w:val="center"/>
          </w:tcPr>
          <w:p w14:paraId="18A82663" w14:textId="77777777" w:rsidR="0070064E" w:rsidRDefault="0070064E" w:rsidP="0070064E">
            <w:r>
              <w:rPr>
                <w:highlight w:val="white"/>
              </w:rPr>
              <w:t>Students will be able to evaluate archaeologically derived data from material culture to draw inferences regarding worldview orientation, religious beliefs, or sociopolitical practi</w:t>
            </w:r>
            <w:r>
              <w:t xml:space="preserve">ces of non-Western or </w:t>
            </w:r>
            <w:r>
              <w:rPr>
                <w:highlight w:val="white"/>
              </w:rPr>
              <w:t>ancient societies. (ANTH 103, ISLO 4)</w:t>
            </w:r>
          </w:p>
        </w:tc>
        <w:tc>
          <w:tcPr>
            <w:tcW w:w="1425" w:type="dxa"/>
            <w:vAlign w:val="center"/>
          </w:tcPr>
          <w:p w14:paraId="05D56229" w14:textId="7091A574" w:rsidR="0070064E" w:rsidRDefault="0070064E" w:rsidP="0070064E">
            <w:pPr>
              <w:jc w:val="center"/>
            </w:pPr>
            <w:r>
              <w:t>Every semester</w:t>
            </w:r>
          </w:p>
        </w:tc>
        <w:tc>
          <w:tcPr>
            <w:tcW w:w="1410" w:type="dxa"/>
            <w:vAlign w:val="center"/>
          </w:tcPr>
          <w:p w14:paraId="6623693A" w14:textId="76EDE48C" w:rsidR="0070064E" w:rsidRDefault="0070064E" w:rsidP="0070064E">
            <w:pPr>
              <w:jc w:val="center"/>
            </w:pPr>
            <w:r>
              <w:t>Every semester</w:t>
            </w:r>
          </w:p>
        </w:tc>
      </w:tr>
      <w:tr w:rsidR="0070064E" w14:paraId="002D17CF" w14:textId="77777777">
        <w:trPr>
          <w:trHeight w:val="220"/>
        </w:trPr>
        <w:tc>
          <w:tcPr>
            <w:tcW w:w="1530" w:type="dxa"/>
            <w:vMerge w:val="restart"/>
            <w:vAlign w:val="center"/>
          </w:tcPr>
          <w:p w14:paraId="725C0DA3" w14:textId="68F676E9" w:rsidR="0070064E" w:rsidRDefault="0070064E" w:rsidP="0070064E">
            <w:r>
              <w:t>ANTH 112</w:t>
            </w:r>
          </w:p>
        </w:tc>
        <w:tc>
          <w:tcPr>
            <w:tcW w:w="6180" w:type="dxa"/>
            <w:vAlign w:val="center"/>
          </w:tcPr>
          <w:p w14:paraId="50840A51" w14:textId="77777777" w:rsidR="0070064E" w:rsidRDefault="0070064E" w:rsidP="0070064E">
            <w:r>
              <w:rPr>
                <w:highlight w:val="white"/>
              </w:rPr>
              <w:t>Students will be able to evaluate archaeologically derived data from material culture to draw inferences regarding worldview orientation, religious beliefs, or sociopolitical practices of non-Western or ancient societies. (ANTH 112, ISLO 5)</w:t>
            </w:r>
          </w:p>
        </w:tc>
        <w:tc>
          <w:tcPr>
            <w:tcW w:w="1425" w:type="dxa"/>
            <w:vAlign w:val="center"/>
          </w:tcPr>
          <w:p w14:paraId="748CB90A" w14:textId="7835010E" w:rsidR="0070064E" w:rsidRDefault="0070064E" w:rsidP="0070064E">
            <w:pPr>
              <w:jc w:val="center"/>
              <w:rPr>
                <w:highlight w:val="yellow"/>
              </w:rPr>
            </w:pPr>
            <w:r>
              <w:t>Every semester</w:t>
            </w:r>
          </w:p>
        </w:tc>
        <w:tc>
          <w:tcPr>
            <w:tcW w:w="1410" w:type="dxa"/>
            <w:vAlign w:val="center"/>
          </w:tcPr>
          <w:p w14:paraId="55A398E3" w14:textId="1C9DBD37" w:rsidR="0070064E" w:rsidRDefault="0070064E" w:rsidP="0070064E">
            <w:pPr>
              <w:jc w:val="center"/>
            </w:pPr>
            <w:r>
              <w:t>Every semester</w:t>
            </w:r>
          </w:p>
        </w:tc>
      </w:tr>
      <w:tr w:rsidR="0070064E" w14:paraId="774B8859" w14:textId="77777777">
        <w:trPr>
          <w:trHeight w:val="220"/>
        </w:trPr>
        <w:tc>
          <w:tcPr>
            <w:tcW w:w="1530" w:type="dxa"/>
            <w:vMerge/>
            <w:vAlign w:val="center"/>
          </w:tcPr>
          <w:p w14:paraId="5CF6FD6B" w14:textId="77777777" w:rsidR="0070064E" w:rsidRDefault="0070064E" w:rsidP="0070064E"/>
        </w:tc>
        <w:tc>
          <w:tcPr>
            <w:tcW w:w="6180" w:type="dxa"/>
            <w:vAlign w:val="center"/>
          </w:tcPr>
          <w:p w14:paraId="0A64EBEF" w14:textId="77777777" w:rsidR="0070064E" w:rsidRDefault="0070064E" w:rsidP="0070064E">
            <w:r>
              <w:rPr>
                <w:highlight w:val="white"/>
              </w:rPr>
              <w:t>Students will be able to locate, identify and explain the major cultural characteristics and unique contributions of the Mesoamerican culture zone. (ANTH 112, ISLO 10)</w:t>
            </w:r>
          </w:p>
        </w:tc>
        <w:tc>
          <w:tcPr>
            <w:tcW w:w="1425" w:type="dxa"/>
            <w:vAlign w:val="center"/>
          </w:tcPr>
          <w:p w14:paraId="5CBBED90" w14:textId="6E5A356D" w:rsidR="0070064E" w:rsidRDefault="0070064E" w:rsidP="0070064E">
            <w:pPr>
              <w:jc w:val="center"/>
              <w:rPr>
                <w:highlight w:val="yellow"/>
              </w:rPr>
            </w:pPr>
            <w:r>
              <w:t>Every semester</w:t>
            </w:r>
          </w:p>
        </w:tc>
        <w:tc>
          <w:tcPr>
            <w:tcW w:w="1410" w:type="dxa"/>
            <w:vAlign w:val="center"/>
          </w:tcPr>
          <w:p w14:paraId="3095A0EE" w14:textId="7D2A28F0" w:rsidR="0070064E" w:rsidRDefault="0070064E" w:rsidP="0070064E">
            <w:pPr>
              <w:jc w:val="center"/>
            </w:pPr>
            <w:r>
              <w:t>Every semester</w:t>
            </w:r>
          </w:p>
        </w:tc>
      </w:tr>
      <w:tr w:rsidR="00DA3248" w14:paraId="41077292" w14:textId="77777777" w:rsidTr="0070064E">
        <w:trPr>
          <w:trHeight w:val="285"/>
        </w:trPr>
        <w:tc>
          <w:tcPr>
            <w:tcW w:w="1530" w:type="dxa"/>
            <w:vMerge w:val="restart"/>
            <w:vAlign w:val="center"/>
          </w:tcPr>
          <w:p w14:paraId="38865191" w14:textId="4CF2E3A0" w:rsidR="00DA3248" w:rsidRDefault="00DA3248" w:rsidP="00DA3248">
            <w:r>
              <w:t>ANTH 115</w:t>
            </w:r>
          </w:p>
        </w:tc>
        <w:tc>
          <w:tcPr>
            <w:tcW w:w="6180" w:type="dxa"/>
            <w:vAlign w:val="center"/>
          </w:tcPr>
          <w:p w14:paraId="13F4014B" w14:textId="65D24D8C" w:rsidR="00DA3248" w:rsidRDefault="00DA3248" w:rsidP="00DA3248">
            <w:pPr>
              <w:rPr>
                <w:highlight w:val="white"/>
              </w:rPr>
            </w:pPr>
            <w:r w:rsidRPr="0070064E">
              <w:t xml:space="preserve">Student will analyze and assess the relationships between beliefs, </w:t>
            </w:r>
            <w:proofErr w:type="gramStart"/>
            <w:r w:rsidRPr="0070064E">
              <w:t>practices</w:t>
            </w:r>
            <w:proofErr w:type="gramEnd"/>
            <w:r w:rsidRPr="0070064E">
              <w:t xml:space="preserve"> and healing within various socio-economic and political contexts.</w:t>
            </w:r>
            <w:r>
              <w:t xml:space="preserve"> </w:t>
            </w:r>
            <w:proofErr w:type="gramStart"/>
            <w:r>
              <w:t>(</w:t>
            </w:r>
            <w:proofErr w:type="gramEnd"/>
            <w:r>
              <w:t>ANTH 115, ISLO 4)</w:t>
            </w:r>
          </w:p>
        </w:tc>
        <w:tc>
          <w:tcPr>
            <w:tcW w:w="1425" w:type="dxa"/>
            <w:vMerge w:val="restart"/>
            <w:vAlign w:val="center"/>
          </w:tcPr>
          <w:p w14:paraId="12E25704" w14:textId="5BFBCC1D" w:rsidR="00DA3248" w:rsidRDefault="00DA3248" w:rsidP="00DA3248">
            <w:pPr>
              <w:jc w:val="center"/>
            </w:pPr>
            <w:r>
              <w:t>Every semester</w:t>
            </w:r>
          </w:p>
        </w:tc>
        <w:tc>
          <w:tcPr>
            <w:tcW w:w="1410" w:type="dxa"/>
            <w:vMerge w:val="restart"/>
            <w:vAlign w:val="center"/>
          </w:tcPr>
          <w:p w14:paraId="1030F3D9" w14:textId="55718B01" w:rsidR="00DA3248" w:rsidRDefault="00DA3248" w:rsidP="00DA3248">
            <w:pPr>
              <w:jc w:val="center"/>
            </w:pPr>
            <w:r>
              <w:t>Every semester</w:t>
            </w:r>
          </w:p>
        </w:tc>
      </w:tr>
      <w:tr w:rsidR="00DA3248" w14:paraId="12BEC632" w14:textId="77777777">
        <w:trPr>
          <w:trHeight w:val="284"/>
        </w:trPr>
        <w:tc>
          <w:tcPr>
            <w:tcW w:w="1530" w:type="dxa"/>
            <w:vMerge/>
            <w:vAlign w:val="center"/>
          </w:tcPr>
          <w:p w14:paraId="0936ADD3" w14:textId="77777777" w:rsidR="00DA3248" w:rsidRDefault="00DA3248" w:rsidP="00DA3248"/>
        </w:tc>
        <w:tc>
          <w:tcPr>
            <w:tcW w:w="6180" w:type="dxa"/>
            <w:vAlign w:val="center"/>
          </w:tcPr>
          <w:p w14:paraId="11B72F2D" w14:textId="205C56AF" w:rsidR="00DA3248" w:rsidRPr="0070064E" w:rsidRDefault="00DA3248" w:rsidP="00DA3248">
            <w:r w:rsidRPr="0070064E">
              <w:t>Student will holistically evaluate the significance of magic, religion and healing to human cultures and societies.</w:t>
            </w:r>
            <w:r>
              <w:t xml:space="preserve"> (ANTH 115, ISLO 10)</w:t>
            </w:r>
          </w:p>
        </w:tc>
        <w:tc>
          <w:tcPr>
            <w:tcW w:w="1425" w:type="dxa"/>
            <w:vMerge/>
            <w:vAlign w:val="center"/>
          </w:tcPr>
          <w:p w14:paraId="3B999BAD" w14:textId="77777777" w:rsidR="00DA3248" w:rsidRDefault="00DA3248" w:rsidP="00DA3248">
            <w:pPr>
              <w:jc w:val="center"/>
            </w:pPr>
          </w:p>
        </w:tc>
        <w:tc>
          <w:tcPr>
            <w:tcW w:w="1410" w:type="dxa"/>
            <w:vMerge/>
            <w:vAlign w:val="center"/>
          </w:tcPr>
          <w:p w14:paraId="0EF61CE2" w14:textId="77777777" w:rsidR="00DA3248" w:rsidRDefault="00DA3248" w:rsidP="00DA3248">
            <w:pPr>
              <w:jc w:val="center"/>
            </w:pPr>
          </w:p>
        </w:tc>
      </w:tr>
      <w:tr w:rsidR="00DA3248" w14:paraId="7398585E" w14:textId="77777777">
        <w:trPr>
          <w:trHeight w:val="180"/>
        </w:trPr>
        <w:tc>
          <w:tcPr>
            <w:tcW w:w="10545" w:type="dxa"/>
            <w:gridSpan w:val="4"/>
            <w:shd w:val="clear" w:color="auto" w:fill="595959"/>
            <w:vAlign w:val="center"/>
          </w:tcPr>
          <w:p w14:paraId="78CD35DD" w14:textId="77777777" w:rsidR="00DA3248" w:rsidRDefault="00DA3248" w:rsidP="00DA3248">
            <w:pPr>
              <w:jc w:val="center"/>
            </w:pPr>
          </w:p>
        </w:tc>
      </w:tr>
      <w:tr w:rsidR="00DA3248" w14:paraId="552B5405" w14:textId="77777777">
        <w:tc>
          <w:tcPr>
            <w:tcW w:w="1530" w:type="dxa"/>
            <w:tcBorders>
              <w:top w:val="single" w:sz="4" w:space="0" w:color="000000"/>
              <w:left w:val="single" w:sz="4" w:space="0" w:color="000000"/>
              <w:bottom w:val="single" w:sz="4" w:space="0" w:color="000000"/>
              <w:right w:val="single" w:sz="4" w:space="0" w:color="000000"/>
            </w:tcBorders>
            <w:vAlign w:val="center"/>
          </w:tcPr>
          <w:p w14:paraId="3682FC5E" w14:textId="77777777" w:rsidR="00DA3248" w:rsidRDefault="00DA3248" w:rsidP="00DA3248">
            <w:pPr>
              <w:jc w:val="center"/>
              <w:rPr>
                <w:b/>
              </w:rPr>
            </w:pPr>
            <w:r>
              <w:rPr>
                <w:b/>
              </w:rPr>
              <w:t>Program</w:t>
            </w:r>
          </w:p>
        </w:tc>
        <w:tc>
          <w:tcPr>
            <w:tcW w:w="6180" w:type="dxa"/>
            <w:tcBorders>
              <w:top w:val="single" w:sz="4" w:space="0" w:color="000000"/>
              <w:left w:val="single" w:sz="4" w:space="0" w:color="000000"/>
              <w:bottom w:val="single" w:sz="4" w:space="0" w:color="000000"/>
              <w:right w:val="single" w:sz="4" w:space="0" w:color="000000"/>
            </w:tcBorders>
            <w:vAlign w:val="center"/>
          </w:tcPr>
          <w:p w14:paraId="5A18837B" w14:textId="77777777" w:rsidR="00DA3248" w:rsidRDefault="00DA3248" w:rsidP="00DA3248">
            <w:pPr>
              <w:jc w:val="center"/>
              <w:rPr>
                <w:b/>
              </w:rPr>
            </w:pPr>
            <w:r>
              <w:rPr>
                <w:b/>
              </w:rPr>
              <w:t>Program-Level Student Learning Outcome (PSLO)</w:t>
            </w:r>
          </w:p>
        </w:tc>
        <w:tc>
          <w:tcPr>
            <w:tcW w:w="1425" w:type="dxa"/>
            <w:tcBorders>
              <w:top w:val="single" w:sz="4" w:space="0" w:color="000000"/>
              <w:left w:val="single" w:sz="4" w:space="0" w:color="000000"/>
              <w:bottom w:val="single" w:sz="4" w:space="0" w:color="000000"/>
              <w:right w:val="single" w:sz="4" w:space="0" w:color="000000"/>
            </w:tcBorders>
            <w:vAlign w:val="center"/>
          </w:tcPr>
          <w:p w14:paraId="7978DDA5" w14:textId="77777777" w:rsidR="00DA3248" w:rsidRDefault="00DA3248" w:rsidP="00DA3248">
            <w:pPr>
              <w:jc w:val="center"/>
              <w:rPr>
                <w:b/>
                <w:sz w:val="16"/>
                <w:szCs w:val="16"/>
              </w:rPr>
            </w:pPr>
            <w:r>
              <w:rPr>
                <w:b/>
                <w:sz w:val="16"/>
                <w:szCs w:val="16"/>
              </w:rPr>
              <w:t>Measure/</w:t>
            </w:r>
          </w:p>
          <w:p w14:paraId="2CDC0C96" w14:textId="77777777" w:rsidR="00DA3248" w:rsidRDefault="00DA3248" w:rsidP="00DA3248">
            <w:pPr>
              <w:jc w:val="center"/>
              <w:rPr>
                <w:b/>
                <w:sz w:val="16"/>
                <w:szCs w:val="16"/>
              </w:rPr>
            </w:pPr>
            <w:r>
              <w:rPr>
                <w:b/>
                <w:sz w:val="16"/>
                <w:szCs w:val="16"/>
              </w:rPr>
              <w:t>Collect Data</w:t>
            </w:r>
          </w:p>
        </w:tc>
        <w:tc>
          <w:tcPr>
            <w:tcW w:w="1410" w:type="dxa"/>
            <w:tcBorders>
              <w:top w:val="single" w:sz="4" w:space="0" w:color="000000"/>
              <w:left w:val="single" w:sz="4" w:space="0" w:color="000000"/>
              <w:bottom w:val="single" w:sz="4" w:space="0" w:color="000000"/>
              <w:right w:val="single" w:sz="4" w:space="0" w:color="000000"/>
            </w:tcBorders>
            <w:vAlign w:val="center"/>
          </w:tcPr>
          <w:p w14:paraId="10DBA3E5" w14:textId="7B42432E" w:rsidR="00DA3248" w:rsidRDefault="00DA3248" w:rsidP="00DA3248">
            <w:pPr>
              <w:jc w:val="center"/>
              <w:rPr>
                <w:b/>
                <w:sz w:val="16"/>
                <w:szCs w:val="16"/>
              </w:rPr>
            </w:pPr>
            <w:r>
              <w:t>Every semester</w:t>
            </w:r>
          </w:p>
        </w:tc>
      </w:tr>
      <w:tr w:rsidR="00DA3248" w14:paraId="41DA5E62" w14:textId="77777777">
        <w:trPr>
          <w:trHeight w:val="200"/>
        </w:trPr>
        <w:tc>
          <w:tcPr>
            <w:tcW w:w="1530" w:type="dxa"/>
            <w:vMerge w:val="restart"/>
            <w:tcBorders>
              <w:top w:val="single" w:sz="4" w:space="0" w:color="000000"/>
              <w:left w:val="single" w:sz="4" w:space="0" w:color="000000"/>
              <w:bottom w:val="single" w:sz="4" w:space="0" w:color="000000"/>
              <w:right w:val="single" w:sz="4" w:space="0" w:color="000000"/>
            </w:tcBorders>
            <w:vAlign w:val="center"/>
          </w:tcPr>
          <w:p w14:paraId="7A4316C2" w14:textId="77777777" w:rsidR="00DA3248" w:rsidRDefault="00DA3248" w:rsidP="00DA3248"/>
          <w:p w14:paraId="7ACD1399" w14:textId="6B066DEB" w:rsidR="00DA3248" w:rsidRDefault="00DA3248" w:rsidP="00DA3248">
            <w:r>
              <w:t>ANTH ADT</w:t>
            </w:r>
          </w:p>
          <w:p w14:paraId="2875CFFE" w14:textId="77777777" w:rsidR="00DA3248" w:rsidRDefault="00DA3248" w:rsidP="00DA3248">
            <w:r>
              <w:t>(01725)</w:t>
            </w:r>
          </w:p>
        </w:tc>
        <w:tc>
          <w:tcPr>
            <w:tcW w:w="6180" w:type="dxa"/>
            <w:tcBorders>
              <w:top w:val="single" w:sz="4" w:space="0" w:color="000000"/>
              <w:left w:val="single" w:sz="4" w:space="0" w:color="000000"/>
              <w:bottom w:val="single" w:sz="4" w:space="0" w:color="000000"/>
              <w:right w:val="single" w:sz="4" w:space="0" w:color="000000"/>
            </w:tcBorders>
            <w:vAlign w:val="center"/>
          </w:tcPr>
          <w:p w14:paraId="4AB8FD0B" w14:textId="77777777" w:rsidR="00DA3248" w:rsidRDefault="00DA3248" w:rsidP="00DA3248">
            <w:pPr>
              <w:rPr>
                <w:sz w:val="21"/>
                <w:szCs w:val="21"/>
                <w:highlight w:val="white"/>
              </w:rPr>
            </w:pPr>
            <w:r>
              <w:rPr>
                <w:highlight w:val="white"/>
              </w:rPr>
              <w:t xml:space="preserve">Students will be able to compare and contrast elements of culture, race, ethnicity and gender to varying cultural universals from past and present, such as language, personality development, and health/illness. </w:t>
            </w:r>
          </w:p>
        </w:tc>
        <w:tc>
          <w:tcPr>
            <w:tcW w:w="1425" w:type="dxa"/>
            <w:tcBorders>
              <w:top w:val="single" w:sz="4" w:space="0" w:color="000000"/>
              <w:left w:val="single" w:sz="4" w:space="0" w:color="000000"/>
              <w:bottom w:val="single" w:sz="4" w:space="0" w:color="000000"/>
              <w:right w:val="single" w:sz="4" w:space="0" w:color="000000"/>
            </w:tcBorders>
            <w:vAlign w:val="center"/>
          </w:tcPr>
          <w:p w14:paraId="35D06A8F" w14:textId="3A6297EE" w:rsidR="00DA3248" w:rsidRDefault="00DA3248" w:rsidP="00DA3248">
            <w:pPr>
              <w:jc w:val="center"/>
            </w:pPr>
            <w:r>
              <w:t>Every semester</w:t>
            </w:r>
          </w:p>
        </w:tc>
        <w:tc>
          <w:tcPr>
            <w:tcW w:w="1410" w:type="dxa"/>
            <w:tcBorders>
              <w:top w:val="single" w:sz="4" w:space="0" w:color="000000"/>
              <w:left w:val="single" w:sz="4" w:space="0" w:color="000000"/>
              <w:bottom w:val="single" w:sz="4" w:space="0" w:color="000000"/>
              <w:right w:val="single" w:sz="4" w:space="0" w:color="000000"/>
            </w:tcBorders>
            <w:vAlign w:val="center"/>
          </w:tcPr>
          <w:p w14:paraId="1794C871" w14:textId="14BF51C2" w:rsidR="00DA3248" w:rsidRDefault="00DA3248" w:rsidP="00DA3248">
            <w:pPr>
              <w:jc w:val="center"/>
            </w:pPr>
            <w:r>
              <w:t>Every semester</w:t>
            </w:r>
          </w:p>
        </w:tc>
      </w:tr>
      <w:tr w:rsidR="00DA3248" w14:paraId="60582DF9" w14:textId="77777777">
        <w:trPr>
          <w:trHeight w:val="200"/>
        </w:trPr>
        <w:tc>
          <w:tcPr>
            <w:tcW w:w="1530" w:type="dxa"/>
            <w:vMerge/>
            <w:tcBorders>
              <w:top w:val="single" w:sz="4" w:space="0" w:color="000000"/>
              <w:left w:val="single" w:sz="4" w:space="0" w:color="000000"/>
              <w:bottom w:val="single" w:sz="4" w:space="0" w:color="000000"/>
              <w:right w:val="single" w:sz="4" w:space="0" w:color="000000"/>
            </w:tcBorders>
            <w:vAlign w:val="center"/>
          </w:tcPr>
          <w:p w14:paraId="7163AC71" w14:textId="77777777" w:rsidR="00DA3248" w:rsidRDefault="00DA3248" w:rsidP="00DA3248"/>
        </w:tc>
        <w:tc>
          <w:tcPr>
            <w:tcW w:w="6180" w:type="dxa"/>
            <w:tcMar>
              <w:top w:w="100" w:type="dxa"/>
              <w:left w:w="100" w:type="dxa"/>
              <w:bottom w:w="100" w:type="dxa"/>
              <w:right w:w="100" w:type="dxa"/>
            </w:tcMar>
            <w:vAlign w:val="center"/>
          </w:tcPr>
          <w:p w14:paraId="17DB58E6" w14:textId="77777777" w:rsidR="00DA3248" w:rsidRDefault="00DA3248" w:rsidP="00DA3248">
            <w:pPr>
              <w:rPr>
                <w:highlight w:val="white"/>
              </w:rPr>
            </w:pPr>
            <w:r>
              <w:rPr>
                <w:highlight w:val="white"/>
              </w:rPr>
              <w:t>Students will be able to apply research and critical thinking skills in order to evaluate current breakthroughs, trends, or discoveries pertaining to anthropology.</w:t>
            </w:r>
          </w:p>
        </w:tc>
        <w:tc>
          <w:tcPr>
            <w:tcW w:w="1425" w:type="dxa"/>
            <w:tcBorders>
              <w:top w:val="single" w:sz="4" w:space="0" w:color="000000"/>
              <w:left w:val="single" w:sz="4" w:space="0" w:color="000000"/>
              <w:bottom w:val="single" w:sz="4" w:space="0" w:color="000000"/>
              <w:right w:val="single" w:sz="4" w:space="0" w:color="000000"/>
            </w:tcBorders>
            <w:vAlign w:val="center"/>
          </w:tcPr>
          <w:p w14:paraId="54EE2E1E" w14:textId="7698FCA5" w:rsidR="00DA3248" w:rsidRDefault="00DA3248" w:rsidP="00DA3248">
            <w:pPr>
              <w:jc w:val="center"/>
            </w:pPr>
            <w:r>
              <w:t>Every semester</w:t>
            </w:r>
          </w:p>
        </w:tc>
        <w:tc>
          <w:tcPr>
            <w:tcW w:w="1410" w:type="dxa"/>
            <w:tcBorders>
              <w:top w:val="single" w:sz="4" w:space="0" w:color="000000"/>
              <w:left w:val="single" w:sz="4" w:space="0" w:color="000000"/>
              <w:bottom w:val="single" w:sz="4" w:space="0" w:color="000000"/>
              <w:right w:val="single" w:sz="4" w:space="0" w:color="000000"/>
            </w:tcBorders>
            <w:vAlign w:val="center"/>
          </w:tcPr>
          <w:p w14:paraId="506C2870" w14:textId="2599A110" w:rsidR="00DA3248" w:rsidRDefault="00DA3248" w:rsidP="00DA3248">
            <w:pPr>
              <w:jc w:val="center"/>
            </w:pPr>
            <w:r>
              <w:t>Every semester</w:t>
            </w:r>
          </w:p>
        </w:tc>
      </w:tr>
      <w:tr w:rsidR="00DA3248" w14:paraId="7F587DAE" w14:textId="77777777">
        <w:trPr>
          <w:trHeight w:val="200"/>
        </w:trPr>
        <w:tc>
          <w:tcPr>
            <w:tcW w:w="1530" w:type="dxa"/>
            <w:vMerge/>
            <w:tcBorders>
              <w:top w:val="single" w:sz="4" w:space="0" w:color="000000"/>
              <w:left w:val="single" w:sz="4" w:space="0" w:color="000000"/>
              <w:bottom w:val="single" w:sz="4" w:space="0" w:color="000000"/>
              <w:right w:val="single" w:sz="4" w:space="0" w:color="000000"/>
            </w:tcBorders>
            <w:vAlign w:val="center"/>
          </w:tcPr>
          <w:p w14:paraId="31E888C4" w14:textId="77777777" w:rsidR="00DA3248" w:rsidRDefault="00DA3248" w:rsidP="00DA3248"/>
        </w:tc>
        <w:tc>
          <w:tcPr>
            <w:tcW w:w="6180" w:type="dxa"/>
            <w:tcMar>
              <w:top w:w="100" w:type="dxa"/>
              <w:left w:w="100" w:type="dxa"/>
              <w:bottom w:w="100" w:type="dxa"/>
              <w:right w:w="100" w:type="dxa"/>
            </w:tcMar>
            <w:vAlign w:val="center"/>
          </w:tcPr>
          <w:p w14:paraId="40D3A2D7" w14:textId="77777777" w:rsidR="00DA3248" w:rsidRDefault="00DA3248" w:rsidP="00DA3248">
            <w:pPr>
              <w:rPr>
                <w:highlight w:val="white"/>
              </w:rPr>
            </w:pPr>
            <w:r>
              <w:rPr>
                <w:highlight w:val="white"/>
              </w:rPr>
              <w:t>Students will be able to locate, identify and explain the major cultural characteristics and unique contributions of selected societies using a globally comparative approach.</w:t>
            </w:r>
          </w:p>
        </w:tc>
        <w:tc>
          <w:tcPr>
            <w:tcW w:w="1425" w:type="dxa"/>
            <w:tcBorders>
              <w:top w:val="single" w:sz="4" w:space="0" w:color="000000"/>
              <w:left w:val="single" w:sz="4" w:space="0" w:color="000000"/>
              <w:bottom w:val="single" w:sz="4" w:space="0" w:color="000000"/>
              <w:right w:val="single" w:sz="4" w:space="0" w:color="000000"/>
            </w:tcBorders>
            <w:vAlign w:val="center"/>
          </w:tcPr>
          <w:p w14:paraId="121AF191" w14:textId="00E068C0" w:rsidR="00DA3248" w:rsidRDefault="00DA3248" w:rsidP="00DA3248">
            <w:pPr>
              <w:jc w:val="center"/>
            </w:pPr>
            <w:r>
              <w:t>Every semester</w:t>
            </w:r>
          </w:p>
        </w:tc>
        <w:tc>
          <w:tcPr>
            <w:tcW w:w="1410" w:type="dxa"/>
            <w:tcBorders>
              <w:top w:val="single" w:sz="4" w:space="0" w:color="000000"/>
              <w:left w:val="single" w:sz="4" w:space="0" w:color="000000"/>
              <w:bottom w:val="single" w:sz="4" w:space="0" w:color="000000"/>
              <w:right w:val="single" w:sz="4" w:space="0" w:color="000000"/>
            </w:tcBorders>
            <w:vAlign w:val="center"/>
          </w:tcPr>
          <w:p w14:paraId="2EB20AE3" w14:textId="41781C02" w:rsidR="00DA3248" w:rsidRDefault="00DA3248" w:rsidP="00DA3248">
            <w:pPr>
              <w:jc w:val="center"/>
            </w:pPr>
            <w:r>
              <w:t>Every semester</w:t>
            </w:r>
          </w:p>
        </w:tc>
      </w:tr>
      <w:tr w:rsidR="00DA3248" w14:paraId="6F228AD6" w14:textId="77777777">
        <w:tc>
          <w:tcPr>
            <w:tcW w:w="1530" w:type="dxa"/>
            <w:tcBorders>
              <w:top w:val="single" w:sz="4" w:space="0" w:color="000000"/>
              <w:left w:val="single" w:sz="4" w:space="0" w:color="000000"/>
              <w:bottom w:val="single" w:sz="4" w:space="0" w:color="000000"/>
              <w:right w:val="single" w:sz="4" w:space="0" w:color="000000"/>
            </w:tcBorders>
            <w:vAlign w:val="center"/>
          </w:tcPr>
          <w:p w14:paraId="00DA668A" w14:textId="5F7722F8" w:rsidR="00DA3248" w:rsidRDefault="00DA3248" w:rsidP="00DA3248">
            <w:r>
              <w:t>ANTH AA</w:t>
            </w:r>
          </w:p>
          <w:p w14:paraId="559C6604" w14:textId="77777777" w:rsidR="00DA3248" w:rsidRDefault="00DA3248" w:rsidP="00DA3248">
            <w:r>
              <w:t>(01720)</w:t>
            </w:r>
          </w:p>
        </w:tc>
        <w:tc>
          <w:tcPr>
            <w:tcW w:w="6180" w:type="dxa"/>
            <w:tcBorders>
              <w:top w:val="single" w:sz="4" w:space="0" w:color="000000"/>
              <w:left w:val="single" w:sz="4" w:space="0" w:color="000000"/>
              <w:bottom w:val="single" w:sz="4" w:space="0" w:color="000000"/>
              <w:right w:val="single" w:sz="4" w:space="0" w:color="000000"/>
            </w:tcBorders>
            <w:vAlign w:val="center"/>
          </w:tcPr>
          <w:p w14:paraId="6C0295E5" w14:textId="77777777" w:rsidR="00DA3248" w:rsidRDefault="00DA3248" w:rsidP="00DA3248">
            <w:pPr>
              <w:rPr>
                <w:highlight w:val="white"/>
              </w:rPr>
            </w:pPr>
            <w:r>
              <w:rPr>
                <w:highlight w:val="white"/>
              </w:rPr>
              <w:t>Students will be able to identify and analyze perspectives, major research, trends, cultural significance, and issues pertaining to the scientific evaluation of the human species from the anthropological approach.</w:t>
            </w:r>
          </w:p>
        </w:tc>
        <w:tc>
          <w:tcPr>
            <w:tcW w:w="1425" w:type="dxa"/>
            <w:tcBorders>
              <w:top w:val="single" w:sz="4" w:space="0" w:color="000000"/>
              <w:left w:val="single" w:sz="4" w:space="0" w:color="000000"/>
              <w:bottom w:val="single" w:sz="4" w:space="0" w:color="000000"/>
              <w:right w:val="single" w:sz="4" w:space="0" w:color="000000"/>
            </w:tcBorders>
            <w:vAlign w:val="center"/>
          </w:tcPr>
          <w:p w14:paraId="3A3D73D1" w14:textId="133360FC" w:rsidR="00DA3248" w:rsidRDefault="00DA3248" w:rsidP="00DA3248">
            <w:pPr>
              <w:jc w:val="center"/>
            </w:pPr>
            <w:r>
              <w:t>Every semester</w:t>
            </w:r>
          </w:p>
        </w:tc>
        <w:tc>
          <w:tcPr>
            <w:tcW w:w="1410" w:type="dxa"/>
            <w:tcBorders>
              <w:top w:val="single" w:sz="4" w:space="0" w:color="000000"/>
              <w:left w:val="single" w:sz="4" w:space="0" w:color="000000"/>
              <w:bottom w:val="single" w:sz="4" w:space="0" w:color="000000"/>
              <w:right w:val="single" w:sz="4" w:space="0" w:color="000000"/>
            </w:tcBorders>
            <w:vAlign w:val="center"/>
          </w:tcPr>
          <w:p w14:paraId="6290FC0E" w14:textId="587F0DC1" w:rsidR="00DA3248" w:rsidRDefault="00DA3248" w:rsidP="00DA3248">
            <w:pPr>
              <w:jc w:val="center"/>
            </w:pPr>
            <w:r>
              <w:t>Every semester</w:t>
            </w:r>
          </w:p>
        </w:tc>
      </w:tr>
    </w:tbl>
    <w:p w14:paraId="1B352736" w14:textId="77777777" w:rsidR="00BA3446" w:rsidRDefault="00BA3446">
      <w:pPr>
        <w:rPr>
          <w:sz w:val="24"/>
          <w:szCs w:val="24"/>
        </w:rPr>
      </w:pPr>
    </w:p>
    <w:p w14:paraId="612DF2A5" w14:textId="77777777" w:rsidR="00BA3446" w:rsidRDefault="00647451">
      <w:pPr>
        <w:rPr>
          <w:sz w:val="24"/>
          <w:szCs w:val="24"/>
        </w:rPr>
      </w:pPr>
      <w:r>
        <w:rPr>
          <w:sz w:val="24"/>
          <w:szCs w:val="24"/>
        </w:rPr>
        <w:t>Notes:</w:t>
      </w:r>
    </w:p>
    <w:p w14:paraId="3AC28E57" w14:textId="77777777" w:rsidR="00BA3446" w:rsidRDefault="00647451">
      <w:r>
        <w:t xml:space="preserve">Due to the transition to remote learning during SP20 (Covid-19), SP20 discussions were pushed to SP21.  </w:t>
      </w:r>
    </w:p>
    <w:p w14:paraId="54DB76BF" w14:textId="77777777" w:rsidR="00BA3446" w:rsidRDefault="00647451">
      <w:pPr>
        <w:rPr>
          <w:sz w:val="24"/>
          <w:szCs w:val="24"/>
        </w:rPr>
      </w:pPr>
      <w:r>
        <w:t xml:space="preserve">When the new (4-year) APR/SLO cycle begins, update discussion terms to the spring after evaluation. </w:t>
      </w:r>
    </w:p>
    <w:sectPr w:rsidR="00BA3446">
      <w:headerReference w:type="default" r:id="rId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7DB5" w14:textId="77777777" w:rsidR="00A5185E" w:rsidRDefault="00A5185E">
      <w:r>
        <w:separator/>
      </w:r>
    </w:p>
  </w:endnote>
  <w:endnote w:type="continuationSeparator" w:id="0">
    <w:p w14:paraId="1A2CD696" w14:textId="77777777" w:rsidR="00A5185E" w:rsidRDefault="00A5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FCFE" w14:textId="77777777" w:rsidR="00A5185E" w:rsidRDefault="00A5185E">
      <w:r>
        <w:separator/>
      </w:r>
    </w:p>
  </w:footnote>
  <w:footnote w:type="continuationSeparator" w:id="0">
    <w:p w14:paraId="639953CA" w14:textId="77777777" w:rsidR="00A5185E" w:rsidRDefault="00A51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F05" w14:textId="77777777" w:rsidR="00BA3446" w:rsidRDefault="00BA3446"/>
  <w:p w14:paraId="46AE6203" w14:textId="77777777" w:rsidR="00BA3446" w:rsidRDefault="00BA3446">
    <w:pPr>
      <w:rPr>
        <w:sz w:val="16"/>
        <w:szCs w:val="16"/>
      </w:rPr>
    </w:pPr>
  </w:p>
  <w:p w14:paraId="2AF2D5D9" w14:textId="77777777" w:rsidR="00BA3446" w:rsidRDefault="00BA3446">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46"/>
    <w:rsid w:val="0004785B"/>
    <w:rsid w:val="000C0070"/>
    <w:rsid w:val="00530F77"/>
    <w:rsid w:val="00647451"/>
    <w:rsid w:val="006757CC"/>
    <w:rsid w:val="0070064E"/>
    <w:rsid w:val="00A5185E"/>
    <w:rsid w:val="00B5132F"/>
    <w:rsid w:val="00BA3446"/>
    <w:rsid w:val="00DA3248"/>
    <w:rsid w:val="00F2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C8E0"/>
  <w15:docId w15:val="{251C8E68-9448-41C4-923A-7DC363CD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Banda Flores</dc:creator>
  <cp:lastModifiedBy>Holly McMullen</cp:lastModifiedBy>
  <cp:revision>3</cp:revision>
  <dcterms:created xsi:type="dcterms:W3CDTF">2022-12-12T19:53:00Z</dcterms:created>
  <dcterms:modified xsi:type="dcterms:W3CDTF">2022-12-12T21:27:00Z</dcterms:modified>
</cp:coreProperties>
</file>